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Calibri" w:cs="Calibri" w:eastAsia="Calibri" w:hAnsi="Calibri"/>
          <w:b/>
          <w:bCs/>
          <w:color w:val="0D9488"/>
          <w:sz w:val="18"/>
          <w:szCs w:val="18"/>
        </w:rPr>
        <w:t xml:space="preserve">MATEMÁTICAS ACTIVAS · RECURSOS PARA DOCENTES</w:t>
      </w:r>
    </w:p>
    <w:p>
      <w:pPr>
        <w:pStyle w:val="Title"/>
        <w:spacing w:after="80"/>
      </w:pPr>
      <w:r>
        <w:rPr>
          <w:rFonts w:ascii="Calibri" w:cs="Calibri" w:eastAsia="Calibri" w:hAnsi="Calibri"/>
          <w:b/>
          <w:bCs/>
          <w:color w:val="0F172A"/>
          <w:sz w:val="40"/>
          <w:szCs w:val="40"/>
        </w:rPr>
        <w:t xml:space="preserve">Lista de cotejo y registro de clase</w:t>
      </w:r>
    </w:p>
    <w:p>
      <w:pPr>
        <w:spacing w:after="200" w:before="0"/>
      </w:pPr>
      <w:r>
        <w:rPr>
          <w:rFonts w:ascii="Calibri" w:cs="Calibri" w:eastAsia="Calibri" w:hAnsi="Calibri"/>
          <w:color w:val="475569"/>
          <w:sz w:val="22"/>
          <w:szCs w:val="22"/>
        </w:rPr>
        <w:t xml:space="preserve">Herramientas para el seguimiento diario: una lista de cotejo por curso, un registro de observación de clases y una ficha de seguimiento individual.</w:t>
      </w:r>
    </w:p>
    <w:p>
      <w:pPr>
        <w:pStyle w:val="Heading2"/>
        <w:pBdr>
          <w:bottom w:val="single" w:color="2563EB" w:sz="12" w:space="4"/>
        </w:pBdr>
        <w:spacing w:after="120" w:before="280"/>
      </w:pPr>
      <w:r>
        <w:rPr>
          <w:rFonts w:ascii="Calibri" w:cs="Calibri" w:eastAsia="Calibri" w:hAnsi="Calibri"/>
          <w:b/>
          <w:bCs/>
          <w:color w:val="2563EB"/>
          <w:sz w:val="28"/>
          <w:szCs w:val="28"/>
        </w:rPr>
        <w:t xml:space="preserve">1. Lista de cotejo por curso</w:t>
      </w:r>
    </w:p>
    <w:p>
      <w:pPr>
        <w:spacing w:after="80" w:before="0"/>
      </w:pPr>
      <w:r>
        <w:rPr>
          <w:rFonts w:ascii="Calibri" w:cs="Calibri" w:eastAsia="Calibri" w:hAnsi="Calibri"/>
          <w:i/>
          <w:iCs/>
          <w:color w:val="64748B"/>
          <w:sz w:val="20"/>
          <w:szCs w:val="20"/>
        </w:rPr>
        <w:t xml:space="preserve">✎ Escribí los indicadores que vas a observar (por ejemplo: “resuelve ecuaciones con paréntesis”). Marcá ✔ (logrado), ~ (en proceso) o ✘ (no logrado).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7038"/>
      </w:tblGrid>
      <w:tr>
        <w:tc>
          <w:tcPr>
            <w:tcW w:type="dxa" w:w="26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FF6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Curso</w:t>
            </w:r>
          </w:p>
        </w:tc>
        <w:tc>
          <w:tcPr>
            <w:tcW w:type="dxa" w:w="703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26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FF6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Tema / unidad</w:t>
            </w:r>
          </w:p>
        </w:tc>
        <w:tc>
          <w:tcPr>
            <w:tcW w:type="dxa" w:w="703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26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FF6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Fecha</w:t>
            </w:r>
          </w:p>
        </w:tc>
        <w:tc>
          <w:tcPr>
            <w:tcW w:type="dxa" w:w="703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</w:tr>
    </w:tbl>
    <w:p>
      <w:pPr>
        <w:spacing w:after="80" w:before="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2938"/>
        <w:gridCol w:w="1240"/>
        <w:gridCol w:w="1240"/>
        <w:gridCol w:w="1240"/>
        <w:gridCol w:w="1240"/>
        <w:gridCol w:w="1240"/>
      </w:tblGrid>
      <w:tr>
        <w:trPr>
          <w:tblHeader/>
        </w:trPr>
        <w:tc>
          <w:tcPr>
            <w:tcW w:type="dxa" w:w="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2563E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N.º</w:t>
            </w:r>
          </w:p>
        </w:tc>
        <w:tc>
          <w:tcPr>
            <w:tcW w:type="dxa" w:w="293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2563E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Estudiante</w:t>
            </w:r>
          </w:p>
        </w:tc>
        <w:tc>
          <w:tcPr>
            <w:tcW w:type="dxa" w:w="124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2563E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Indicador 1</w:t>
            </w:r>
          </w:p>
        </w:tc>
        <w:tc>
          <w:tcPr>
            <w:tcW w:type="dxa" w:w="124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2563E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Indicador 2</w:t>
            </w:r>
          </w:p>
        </w:tc>
        <w:tc>
          <w:tcPr>
            <w:tcW w:type="dxa" w:w="124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2563E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Indicador 3</w:t>
            </w:r>
          </w:p>
        </w:tc>
        <w:tc>
          <w:tcPr>
            <w:tcW w:type="dxa" w:w="124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2563E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Indicador 4</w:t>
            </w:r>
          </w:p>
        </w:tc>
        <w:tc>
          <w:tcPr>
            <w:tcW w:type="dxa" w:w="124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2563E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Indicador 5</w:t>
            </w:r>
          </w:p>
        </w:tc>
      </w:tr>
      <w:tr>
        <w:trPr>
          <w:tblHeader w:val="false"/>
        </w:trPr>
        <w:tc>
          <w:tcPr>
            <w:tcW w:type="dxa" w:w="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1</w:t>
            </w:r>
          </w:p>
        </w:tc>
        <w:tc>
          <w:tcPr>
            <w:tcW w:type="dxa" w:w="293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124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124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124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124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124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2</w:t>
            </w:r>
          </w:p>
        </w:tc>
        <w:tc>
          <w:tcPr>
            <w:tcW w:type="dxa" w:w="293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124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124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124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124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124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3</w:t>
            </w:r>
          </w:p>
        </w:tc>
        <w:tc>
          <w:tcPr>
            <w:tcW w:type="dxa" w:w="293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124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124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124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124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124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4</w:t>
            </w:r>
          </w:p>
        </w:tc>
        <w:tc>
          <w:tcPr>
            <w:tcW w:type="dxa" w:w="293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124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124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124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124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124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5</w:t>
            </w:r>
          </w:p>
        </w:tc>
        <w:tc>
          <w:tcPr>
            <w:tcW w:type="dxa" w:w="293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124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124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124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124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124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6</w:t>
            </w:r>
          </w:p>
        </w:tc>
        <w:tc>
          <w:tcPr>
            <w:tcW w:type="dxa" w:w="293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124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124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124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124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124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7</w:t>
            </w:r>
          </w:p>
        </w:tc>
        <w:tc>
          <w:tcPr>
            <w:tcW w:type="dxa" w:w="293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124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124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124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124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124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8</w:t>
            </w:r>
          </w:p>
        </w:tc>
        <w:tc>
          <w:tcPr>
            <w:tcW w:type="dxa" w:w="293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124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124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124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124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124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9</w:t>
            </w:r>
          </w:p>
        </w:tc>
        <w:tc>
          <w:tcPr>
            <w:tcW w:type="dxa" w:w="293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124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124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124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124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124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10</w:t>
            </w:r>
          </w:p>
        </w:tc>
        <w:tc>
          <w:tcPr>
            <w:tcW w:type="dxa" w:w="293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124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124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124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124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124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11</w:t>
            </w:r>
          </w:p>
        </w:tc>
        <w:tc>
          <w:tcPr>
            <w:tcW w:type="dxa" w:w="293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124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124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124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124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124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12</w:t>
            </w:r>
          </w:p>
        </w:tc>
        <w:tc>
          <w:tcPr>
            <w:tcW w:type="dxa" w:w="293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124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124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124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124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124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13</w:t>
            </w:r>
          </w:p>
        </w:tc>
        <w:tc>
          <w:tcPr>
            <w:tcW w:type="dxa" w:w="293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124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124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124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124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124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14</w:t>
            </w:r>
          </w:p>
        </w:tc>
        <w:tc>
          <w:tcPr>
            <w:tcW w:type="dxa" w:w="293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124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124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124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124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124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15</w:t>
            </w:r>
          </w:p>
        </w:tc>
        <w:tc>
          <w:tcPr>
            <w:tcW w:type="dxa" w:w="293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124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124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124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124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124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16</w:t>
            </w:r>
          </w:p>
        </w:tc>
        <w:tc>
          <w:tcPr>
            <w:tcW w:type="dxa" w:w="293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124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124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124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124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124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17</w:t>
            </w:r>
          </w:p>
        </w:tc>
        <w:tc>
          <w:tcPr>
            <w:tcW w:type="dxa" w:w="293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124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124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124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124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124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18</w:t>
            </w:r>
          </w:p>
        </w:tc>
        <w:tc>
          <w:tcPr>
            <w:tcW w:type="dxa" w:w="293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124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124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124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124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124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19</w:t>
            </w:r>
          </w:p>
        </w:tc>
        <w:tc>
          <w:tcPr>
            <w:tcW w:type="dxa" w:w="293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124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124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124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124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124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20</w:t>
            </w:r>
          </w:p>
        </w:tc>
        <w:tc>
          <w:tcPr>
            <w:tcW w:type="dxa" w:w="293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124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124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124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124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124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</w:tr>
    </w:tbl>
    <w:p>
      <w:r>
        <w:br w:type="page"/>
      </w:r>
    </w:p>
    <w:p>
      <w:pPr>
        <w:pStyle w:val="Heading2"/>
        <w:pBdr>
          <w:bottom w:val="single" w:color="7C3AED" w:sz="12" w:space="4"/>
        </w:pBdr>
        <w:spacing w:after="120" w:before="280"/>
      </w:pPr>
      <w:r>
        <w:rPr>
          <w:rFonts w:ascii="Calibri" w:cs="Calibri" w:eastAsia="Calibri" w:hAnsi="Calibri"/>
          <w:b/>
          <w:bCs/>
          <w:color w:val="7C3AED"/>
          <w:sz w:val="28"/>
          <w:szCs w:val="28"/>
        </w:rPr>
        <w:t xml:space="preserve">2. Registro de observación de clases</w:t>
      </w:r>
    </w:p>
    <w:p>
      <w:pPr>
        <w:spacing w:after="80" w:before="0"/>
      </w:pPr>
      <w:r>
        <w:rPr>
          <w:rFonts w:ascii="Calibri" w:cs="Calibri" w:eastAsia="Calibri" w:hAnsi="Calibri"/>
          <w:i/>
          <w:iCs/>
          <w:color w:val="64748B"/>
          <w:sz w:val="20"/>
          <w:szCs w:val="20"/>
        </w:rPr>
        <w:t xml:space="preserve">✎ Una fila por clase. Sirve como memoria de lo que pasó y para ajustar la planificación.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2600"/>
        <w:gridCol w:w="3000"/>
        <w:gridCol w:w="2738"/>
      </w:tblGrid>
      <w:tr>
        <w:trPr>
          <w:tblHeader/>
        </w:trPr>
        <w:tc>
          <w:tcPr>
            <w:tcW w:type="dxa" w:w="13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7C3AED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Fecha</w:t>
            </w:r>
          </w:p>
        </w:tc>
        <w:tc>
          <w:tcPr>
            <w:tcW w:type="dxa" w:w="26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7C3AED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Actividad / tema</w:t>
            </w:r>
          </w:p>
        </w:tc>
        <w:tc>
          <w:tcPr>
            <w:tcW w:type="dxa" w:w="30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7C3AED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Lo que funcionó y lo que costó</w:t>
            </w:r>
          </w:p>
        </w:tc>
        <w:tc>
          <w:tcPr>
            <w:tcW w:type="dxa" w:w="273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7C3AED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Ajustes para la próxima</w:t>
            </w:r>
          </w:p>
        </w:tc>
      </w:tr>
      <w:tr>
        <w:trPr>
          <w:tblHeader w:val="false"/>
        </w:trPr>
        <w:tc>
          <w:tcPr>
            <w:tcW w:type="dxa" w:w="13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26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30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273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13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26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30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273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13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26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30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273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13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26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30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273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13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26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30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273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13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26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30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273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13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26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30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273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13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26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30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273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13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26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30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273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13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26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30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273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</w:tr>
    </w:tbl>
    <w:p>
      <w:r>
        <w:br w:type="page"/>
      </w:r>
    </w:p>
    <w:p>
      <w:pPr>
        <w:pStyle w:val="Heading2"/>
        <w:pBdr>
          <w:bottom w:val="single" w:color="0D9488" w:sz="12" w:space="4"/>
        </w:pBdr>
        <w:spacing w:after="120" w:before="280"/>
      </w:pPr>
      <w:r>
        <w:rPr>
          <w:rFonts w:ascii="Calibri" w:cs="Calibri" w:eastAsia="Calibri" w:hAnsi="Calibri"/>
          <w:b/>
          <w:bCs/>
          <w:color w:val="0D9488"/>
          <w:sz w:val="28"/>
          <w:szCs w:val="28"/>
        </w:rPr>
        <w:t xml:space="preserve">3. Ficha de seguimiento individual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7038"/>
      </w:tblGrid>
      <w:tr>
        <w:tc>
          <w:tcPr>
            <w:tcW w:type="dxa" w:w="26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FF6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Estudiante</w:t>
            </w:r>
          </w:p>
        </w:tc>
        <w:tc>
          <w:tcPr>
            <w:tcW w:type="dxa" w:w="703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26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FF6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Curso</w:t>
            </w:r>
          </w:p>
        </w:tc>
        <w:tc>
          <w:tcPr>
            <w:tcW w:type="dxa" w:w="703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26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FF6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Fortalezas</w:t>
            </w:r>
          </w:p>
        </w:tc>
        <w:tc>
          <w:tcPr>
            <w:tcW w:type="dxa" w:w="703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26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FF6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Dificultades</w:t>
            </w:r>
          </w:p>
        </w:tc>
        <w:tc>
          <w:tcPr>
            <w:tcW w:type="dxa" w:w="703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26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FF6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Estrategias acordadas</w:t>
            </w:r>
          </w:p>
        </w:tc>
        <w:tc>
          <w:tcPr>
            <w:tcW w:type="dxa" w:w="703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26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FF6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Comunicación con la familia</w:t>
            </w:r>
          </w:p>
        </w:tc>
        <w:tc>
          <w:tcPr>
            <w:tcW w:type="dxa" w:w="703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</w:tr>
    </w:tbl>
    <w:p>
      <w:pPr>
        <w:spacing w:after="80" w:before="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3500"/>
        <w:gridCol w:w="2300"/>
        <w:gridCol w:w="2338"/>
      </w:tblGrid>
      <w:tr>
        <w:trPr>
          <w:tblHeader/>
        </w:trPr>
        <w:tc>
          <w:tcPr>
            <w:tcW w:type="dxa" w:w="1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0D948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Fecha</w:t>
            </w:r>
          </w:p>
        </w:tc>
        <w:tc>
          <w:tcPr>
            <w:tcW w:type="dxa" w:w="3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0D948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Observación</w:t>
            </w:r>
          </w:p>
        </w:tc>
        <w:tc>
          <w:tcPr>
            <w:tcW w:type="dxa" w:w="23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0D948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Acción</w:t>
            </w:r>
          </w:p>
        </w:tc>
        <w:tc>
          <w:tcPr>
            <w:tcW w:type="dxa" w:w="233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0D948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Resultado</w:t>
            </w:r>
          </w:p>
        </w:tc>
      </w:tr>
      <w:tr>
        <w:trPr>
          <w:tblHeader w:val="false"/>
        </w:trPr>
        <w:tc>
          <w:tcPr>
            <w:tcW w:type="dxa" w:w="1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3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23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233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1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3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23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233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1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3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23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233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1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3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23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233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1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3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23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233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1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3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23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233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1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3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23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233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1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3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23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233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</w:tr>
    </w:tbl>
    <w:p>
      <w:pPr>
        <w:spacing w:after="80" w:before="0"/>
      </w:pPr>
      <w:r>
        <w:rPr>
          <w:rFonts w:ascii="Calibri" w:cs="Calibri" w:eastAsia="Calibri" w:hAnsi="Calibri"/>
          <w:i/>
          <w:iCs/>
          <w:color w:val="64748B"/>
          <w:sz w:val="20"/>
          <w:szCs w:val="20"/>
        </w:rPr>
        <w:t xml:space="preserve">✎ Si usás la planilla de seguimiento en Excel o el panel “Mi curso” de Matemáticas Activas, podés pasar acá solo lo cualitativo.</w:t>
      </w:r>
    </w:p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94A3B8"/>
        <w:sz w:val="16"/>
        <w:szCs w:val="16"/>
      </w:rPr>
      <w:t xml:space="preserve">Matemáticas Activas · matematicasactivas.com · Página </w:t>
    </w:r>
    <w:r>
      <w:rPr>
        <w:rFonts w:ascii="Calibri" w:cs="Calibri" w:eastAsia="Calibri" w:hAnsi="Calibri"/>
        <w:color w:val="94A3B8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  <w:lvl w:ilvl="1" w15:tentative="1">
      <w:start w:val="1"/>
      <w:numFmt w:val="bullet"/>
      <w:lvlText w:val="–"/>
      <w:lvlJc w:val="left"/>
      <w:pPr>
        <w:ind w:left="1080" w:hanging="27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Lista de cotejo y registro de clase</dc:title>
  <dc:creator>Matemáticas Activas</dc:creator>
  <cp:lastModifiedBy>Un-named</cp:lastModifiedBy>
  <cp:revision>1</cp:revision>
  <dcterms:created xsi:type="dcterms:W3CDTF">2026-10-16T02:32:27.460Z</dcterms:created>
  <dcterms:modified xsi:type="dcterms:W3CDTF">2026-10-16T02:32:27.460Z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